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C23CF" w14:textId="77777777" w:rsidR="00817373" w:rsidRDefault="00817373" w:rsidP="00817373">
      <w:pPr>
        <w:pStyle w:val="Ttulo"/>
        <w:jc w:val="center"/>
      </w:pPr>
      <w:bookmarkStart w:id="0" w:name="_Toc462990704"/>
      <w:bookmarkStart w:id="1" w:name="_GoBack"/>
      <w:bookmarkEnd w:id="1"/>
      <w:r>
        <w:t>Internalização de Aplica</w:t>
      </w:r>
      <w:r w:rsidR="00296DF4">
        <w:t>ções</w:t>
      </w:r>
      <w:r>
        <w:t xml:space="preserve"> – Banco de Dados</w:t>
      </w:r>
    </w:p>
    <w:p w14:paraId="65869D4E" w14:textId="77777777" w:rsidR="00817373" w:rsidRDefault="00817373" w:rsidP="00817373">
      <w:bookmarkStart w:id="2" w:name="_Toc467760593"/>
      <w:bookmarkStart w:id="3" w:name="_Toc508800522"/>
      <w:r>
        <w:t>Para que um</w:t>
      </w:r>
      <w:r w:rsidR="00296DF4">
        <w:t>a</w:t>
      </w:r>
      <w:r>
        <w:t xml:space="preserve"> aplica</w:t>
      </w:r>
      <w:r w:rsidR="00296DF4">
        <w:t>ção seja internalizada,</w:t>
      </w:r>
      <w:r w:rsidR="006B4CE8">
        <w:t xml:space="preserve"> em relação à</w:t>
      </w:r>
      <w:r>
        <w:t xml:space="preserve"> área de banco de dados</w:t>
      </w:r>
      <w:r w:rsidR="006B4CE8">
        <w:t>,</w:t>
      </w:r>
      <w:r w:rsidR="00841185">
        <w:t xml:space="preserve"> deve ser seguido</w:t>
      </w:r>
      <w:r>
        <w:t xml:space="preserve"> um conjunto </w:t>
      </w:r>
      <w:r w:rsidR="00E622DF">
        <w:t>de pré</w:t>
      </w:r>
      <w:r>
        <w:t>-requisitos</w:t>
      </w:r>
      <w:r w:rsidR="00841185">
        <w:t>,</w:t>
      </w:r>
      <w:r>
        <w:t xml:space="preserve"> descritos a seguir.</w:t>
      </w:r>
    </w:p>
    <w:bookmarkEnd w:id="0"/>
    <w:bookmarkEnd w:id="2"/>
    <w:bookmarkEnd w:id="3"/>
    <w:p w14:paraId="784DA2C2" w14:textId="77777777" w:rsidR="009857AF" w:rsidRDefault="009857AF" w:rsidP="00817373">
      <w:pPr>
        <w:pStyle w:val="Ttulo1"/>
      </w:pPr>
      <w:r>
        <w:t xml:space="preserve">Identificação </w:t>
      </w:r>
      <w:r w:rsidR="0000215E">
        <w:t>da Aplicação</w:t>
      </w:r>
    </w:p>
    <w:p w14:paraId="5569DC1E" w14:textId="77777777" w:rsidR="009857AF" w:rsidRPr="009857AF" w:rsidRDefault="00D85632" w:rsidP="009857AF">
      <w:r>
        <w:t>Na tabela a seguir</w:t>
      </w:r>
      <w:r w:rsidR="00841185">
        <w:t>,</w:t>
      </w:r>
      <w:r>
        <w:t xml:space="preserve"> </w:t>
      </w:r>
      <w:r w:rsidR="00457224">
        <w:t>preencher</w:t>
      </w:r>
      <w:r w:rsidR="004431A0">
        <w:t xml:space="preserve"> informações relativas </w:t>
      </w:r>
      <w:r w:rsidR="0000215E">
        <w:t>à aplicação que será internalizada</w:t>
      </w:r>
      <w:r w:rsidR="004431A0">
        <w:t>.</w:t>
      </w:r>
    </w:p>
    <w:tbl>
      <w:tblPr>
        <w:tblStyle w:val="Tabelacomgrade"/>
        <w:tblW w:w="0" w:type="auto"/>
        <w:tblBorders>
          <w:top w:val="single" w:sz="4" w:space="0" w:color="C79F22"/>
          <w:left w:val="single" w:sz="4" w:space="0" w:color="C79F22"/>
          <w:bottom w:val="single" w:sz="4" w:space="0" w:color="C79F22"/>
          <w:right w:val="single" w:sz="4" w:space="0" w:color="C79F22"/>
          <w:insideH w:val="single" w:sz="4" w:space="0" w:color="C79F22"/>
          <w:insideV w:val="single" w:sz="4" w:space="0" w:color="C79F22"/>
        </w:tblBorders>
        <w:tblLook w:val="04A0" w:firstRow="1" w:lastRow="0" w:firstColumn="1" w:lastColumn="0" w:noHBand="0" w:noVBand="1"/>
      </w:tblPr>
      <w:tblGrid>
        <w:gridCol w:w="3397"/>
        <w:gridCol w:w="5097"/>
      </w:tblGrid>
      <w:tr w:rsidR="004431A0" w:rsidRPr="003A6E11" w14:paraId="62CA2D65" w14:textId="77777777" w:rsidTr="0028193D">
        <w:tc>
          <w:tcPr>
            <w:tcW w:w="8494" w:type="dxa"/>
            <w:gridSpan w:val="2"/>
            <w:shd w:val="clear" w:color="auto" w:fill="333D4E"/>
          </w:tcPr>
          <w:p w14:paraId="592E5D9D" w14:textId="77777777" w:rsidR="004431A0" w:rsidRPr="003A6E11" w:rsidRDefault="004431A0" w:rsidP="0000215E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Informações </w:t>
            </w:r>
            <w:r w:rsidR="0000215E">
              <w:rPr>
                <w:b/>
              </w:rPr>
              <w:t>da Aplicação</w:t>
            </w:r>
          </w:p>
        </w:tc>
      </w:tr>
      <w:tr w:rsidR="009857AF" w14:paraId="5379C681" w14:textId="77777777" w:rsidTr="000E1B24">
        <w:tc>
          <w:tcPr>
            <w:tcW w:w="3397" w:type="dxa"/>
          </w:tcPr>
          <w:p w14:paraId="013C61F9" w14:textId="77777777" w:rsidR="009857AF" w:rsidRDefault="009857AF" w:rsidP="009857AF">
            <w:r>
              <w:t>Área Gestora</w:t>
            </w:r>
          </w:p>
        </w:tc>
        <w:tc>
          <w:tcPr>
            <w:tcW w:w="5097" w:type="dxa"/>
          </w:tcPr>
          <w:p w14:paraId="04873E9D" w14:textId="77777777" w:rsidR="009857AF" w:rsidRPr="00EE40EE" w:rsidRDefault="00EE40EE" w:rsidP="000E1B24">
            <w:pPr>
              <w:rPr>
                <w:i/>
                <w:color w:val="0000FF"/>
              </w:rPr>
            </w:pPr>
            <w:r w:rsidRPr="00EE40EE">
              <w:rPr>
                <w:i/>
                <w:color w:val="0000FF"/>
              </w:rPr>
              <w:t>&lt; Informar o nome da área gestora</w:t>
            </w:r>
            <w:r w:rsidR="008C6FDC">
              <w:rPr>
                <w:i/>
                <w:color w:val="0000FF"/>
              </w:rPr>
              <w:t>,</w:t>
            </w:r>
            <w:r w:rsidR="004431A0">
              <w:rPr>
                <w:i/>
                <w:color w:val="0000FF"/>
              </w:rPr>
              <w:t xml:space="preserve"> no Ministério da Saúde</w:t>
            </w:r>
            <w:r w:rsidR="008C6FDC">
              <w:rPr>
                <w:i/>
                <w:color w:val="0000FF"/>
              </w:rPr>
              <w:t>,</w:t>
            </w:r>
            <w:r w:rsidR="004431A0">
              <w:rPr>
                <w:i/>
                <w:color w:val="0000FF"/>
              </w:rPr>
              <w:t xml:space="preserve"> </w:t>
            </w:r>
            <w:r w:rsidR="00296DF4">
              <w:rPr>
                <w:i/>
                <w:color w:val="0000FF"/>
              </w:rPr>
              <w:t>da aplicação</w:t>
            </w:r>
            <w:r w:rsidR="00296DF4" w:rsidRPr="00EE40EE">
              <w:rPr>
                <w:i/>
                <w:color w:val="0000FF"/>
              </w:rPr>
              <w:t xml:space="preserve"> </w:t>
            </w:r>
            <w:r w:rsidRPr="00EE40EE">
              <w:rPr>
                <w:i/>
                <w:color w:val="0000FF"/>
              </w:rPr>
              <w:t>&gt;</w:t>
            </w:r>
          </w:p>
        </w:tc>
      </w:tr>
      <w:tr w:rsidR="00EE40EE" w14:paraId="061B63F2" w14:textId="77777777" w:rsidTr="000E1B24">
        <w:tc>
          <w:tcPr>
            <w:tcW w:w="3397" w:type="dxa"/>
          </w:tcPr>
          <w:p w14:paraId="01C1346B" w14:textId="77777777" w:rsidR="00EE40EE" w:rsidRDefault="00EE40EE" w:rsidP="00EE40EE">
            <w:r>
              <w:t>Sigla da Área Gestora</w:t>
            </w:r>
          </w:p>
        </w:tc>
        <w:tc>
          <w:tcPr>
            <w:tcW w:w="5097" w:type="dxa"/>
          </w:tcPr>
          <w:p w14:paraId="6C049029" w14:textId="77777777" w:rsidR="00EE40EE" w:rsidRPr="00EE40EE" w:rsidRDefault="00EE40EE" w:rsidP="00296DF4">
            <w:pPr>
              <w:rPr>
                <w:i/>
                <w:color w:val="0000FF"/>
              </w:rPr>
            </w:pPr>
            <w:r w:rsidRPr="00EE40EE">
              <w:rPr>
                <w:i/>
                <w:color w:val="0000FF"/>
              </w:rPr>
              <w:t xml:space="preserve">&lt; Informar </w:t>
            </w:r>
            <w:r>
              <w:rPr>
                <w:i/>
                <w:color w:val="0000FF"/>
              </w:rPr>
              <w:t>a sigla</w:t>
            </w:r>
            <w:r w:rsidRPr="00EE40EE">
              <w:rPr>
                <w:i/>
                <w:color w:val="0000FF"/>
              </w:rPr>
              <w:t xml:space="preserve"> da área gestora</w:t>
            </w:r>
            <w:r w:rsidR="008C6FDC">
              <w:rPr>
                <w:i/>
                <w:color w:val="0000FF"/>
              </w:rPr>
              <w:t>,</w:t>
            </w:r>
            <w:r w:rsidR="004431A0">
              <w:rPr>
                <w:i/>
                <w:color w:val="0000FF"/>
              </w:rPr>
              <w:t xml:space="preserve"> no Ministério da Saúde</w:t>
            </w:r>
            <w:r w:rsidR="008C6FDC">
              <w:rPr>
                <w:i/>
                <w:color w:val="0000FF"/>
              </w:rPr>
              <w:t>,</w:t>
            </w:r>
            <w:r w:rsidR="004431A0">
              <w:rPr>
                <w:i/>
                <w:color w:val="0000FF"/>
              </w:rPr>
              <w:t xml:space="preserve"> </w:t>
            </w:r>
            <w:r w:rsidR="00296DF4">
              <w:rPr>
                <w:i/>
                <w:color w:val="0000FF"/>
              </w:rPr>
              <w:t>da aplicação</w:t>
            </w:r>
            <w:r w:rsidR="004431A0" w:rsidRPr="00EE40EE">
              <w:rPr>
                <w:i/>
                <w:color w:val="0000FF"/>
              </w:rPr>
              <w:t xml:space="preserve"> </w:t>
            </w:r>
            <w:r w:rsidRPr="00EE40EE">
              <w:rPr>
                <w:i/>
                <w:color w:val="0000FF"/>
              </w:rPr>
              <w:t>&gt;</w:t>
            </w:r>
          </w:p>
        </w:tc>
      </w:tr>
      <w:tr w:rsidR="00EE40EE" w14:paraId="5140B4FA" w14:textId="77777777" w:rsidTr="000E1B24">
        <w:tc>
          <w:tcPr>
            <w:tcW w:w="3397" w:type="dxa"/>
          </w:tcPr>
          <w:p w14:paraId="63D5E672" w14:textId="77777777" w:rsidR="00EE40EE" w:rsidRDefault="00EE40EE" w:rsidP="00296DF4">
            <w:r>
              <w:t xml:space="preserve">Sigla </w:t>
            </w:r>
            <w:r w:rsidR="00296DF4">
              <w:t>da Aplicação</w:t>
            </w:r>
          </w:p>
        </w:tc>
        <w:tc>
          <w:tcPr>
            <w:tcW w:w="5097" w:type="dxa"/>
          </w:tcPr>
          <w:p w14:paraId="1FF691B6" w14:textId="77777777" w:rsidR="00EE40EE" w:rsidRPr="00EE40EE" w:rsidRDefault="00EE40EE" w:rsidP="00EE40EE">
            <w:pPr>
              <w:rPr>
                <w:i/>
                <w:color w:val="0000FF"/>
              </w:rPr>
            </w:pPr>
            <w:r w:rsidRPr="00EE40EE">
              <w:rPr>
                <w:i/>
                <w:color w:val="0000FF"/>
              </w:rPr>
              <w:t xml:space="preserve">&lt; Informar </w:t>
            </w:r>
            <w:r>
              <w:rPr>
                <w:i/>
                <w:color w:val="0000FF"/>
              </w:rPr>
              <w:t xml:space="preserve">a sigla </w:t>
            </w:r>
            <w:r w:rsidR="00296DF4">
              <w:rPr>
                <w:i/>
                <w:color w:val="0000FF"/>
              </w:rPr>
              <w:t>da aplicação</w:t>
            </w:r>
            <w:r w:rsidR="00296DF4" w:rsidRPr="00EE40EE">
              <w:rPr>
                <w:i/>
                <w:color w:val="0000FF"/>
              </w:rPr>
              <w:t xml:space="preserve"> </w:t>
            </w:r>
            <w:r w:rsidRPr="00EE40EE">
              <w:rPr>
                <w:i/>
                <w:color w:val="0000FF"/>
              </w:rPr>
              <w:t>&gt;</w:t>
            </w:r>
          </w:p>
        </w:tc>
      </w:tr>
      <w:tr w:rsidR="00EE40EE" w14:paraId="571B6380" w14:textId="77777777" w:rsidTr="000E1B24">
        <w:tc>
          <w:tcPr>
            <w:tcW w:w="3397" w:type="dxa"/>
          </w:tcPr>
          <w:p w14:paraId="3A6BCE10" w14:textId="77777777" w:rsidR="00EE40EE" w:rsidRDefault="00EE40EE" w:rsidP="00EE40EE">
            <w:r>
              <w:t>Finalidade</w:t>
            </w:r>
          </w:p>
        </w:tc>
        <w:tc>
          <w:tcPr>
            <w:tcW w:w="5097" w:type="dxa"/>
          </w:tcPr>
          <w:p w14:paraId="54CCFD39" w14:textId="77777777" w:rsidR="00EE40EE" w:rsidRPr="00EE40EE" w:rsidRDefault="00EE40EE" w:rsidP="00EE40EE">
            <w:pPr>
              <w:rPr>
                <w:i/>
                <w:color w:val="0000FF"/>
              </w:rPr>
            </w:pPr>
            <w:r w:rsidRPr="00EE40EE">
              <w:rPr>
                <w:i/>
                <w:color w:val="0000FF"/>
              </w:rPr>
              <w:t xml:space="preserve">&lt; Informar </w:t>
            </w:r>
            <w:r>
              <w:rPr>
                <w:i/>
                <w:color w:val="0000FF"/>
              </w:rPr>
              <w:t xml:space="preserve">a finalidade </w:t>
            </w:r>
            <w:r w:rsidR="00296DF4">
              <w:rPr>
                <w:i/>
                <w:color w:val="0000FF"/>
              </w:rPr>
              <w:t>da aplicação</w:t>
            </w:r>
            <w:r w:rsidR="00296DF4" w:rsidRPr="00EE40EE">
              <w:rPr>
                <w:i/>
                <w:color w:val="0000FF"/>
              </w:rPr>
              <w:t xml:space="preserve"> </w:t>
            </w:r>
            <w:r w:rsidRPr="00EE40EE">
              <w:rPr>
                <w:i/>
                <w:color w:val="0000FF"/>
              </w:rPr>
              <w:t>&gt;</w:t>
            </w:r>
          </w:p>
        </w:tc>
      </w:tr>
    </w:tbl>
    <w:p w14:paraId="50C4FFA3" w14:textId="77777777" w:rsidR="009857AF" w:rsidRPr="009857AF" w:rsidRDefault="009857AF" w:rsidP="009857AF"/>
    <w:p w14:paraId="308FFDC3" w14:textId="77777777" w:rsidR="00817373" w:rsidRDefault="00817373" w:rsidP="00817373">
      <w:pPr>
        <w:pStyle w:val="Ttulo1"/>
      </w:pPr>
      <w:r>
        <w:t>SGBD</w:t>
      </w:r>
    </w:p>
    <w:p w14:paraId="1F06EABF" w14:textId="77777777" w:rsidR="00817373" w:rsidRDefault="003A6E11" w:rsidP="00817373">
      <w:r>
        <w:t xml:space="preserve"> </w:t>
      </w:r>
      <w:r w:rsidR="00457224">
        <w:t>Na tabela a seguir</w:t>
      </w:r>
      <w:r w:rsidR="008C6FDC">
        <w:t>,</w:t>
      </w:r>
      <w:r w:rsidR="00457224">
        <w:t xml:space="preserve"> preencher informações relativas ao SGBD utilizado </w:t>
      </w:r>
      <w:r w:rsidR="00296DF4">
        <w:t>na aplicação</w:t>
      </w:r>
      <w:r w:rsidR="00457224">
        <w:t>, que deve corresponder a um dos indicados que são utilizados no Ministério da Saúde</w:t>
      </w:r>
      <w:r w:rsidR="008C6FDC">
        <w:t>,</w:t>
      </w:r>
      <w:r w:rsidR="00457224">
        <w:t xml:space="preserve"> como definido a seguir. </w:t>
      </w:r>
    </w:p>
    <w:p w14:paraId="6768711C" w14:textId="77777777" w:rsidR="00457224" w:rsidRDefault="00457224" w:rsidP="00457224">
      <w:r>
        <w:t xml:space="preserve">Preferencialmente </w:t>
      </w:r>
      <w:r w:rsidR="0000215E">
        <w:t>a aplicação</w:t>
      </w:r>
      <w:r>
        <w:t xml:space="preserve"> deve ser </w:t>
      </w:r>
      <w:r w:rsidR="00E622DF">
        <w:t>desenvolvida</w:t>
      </w:r>
      <w:r>
        <w:t xml:space="preserve"> utilizando o SGBD Oracle.</w:t>
      </w:r>
    </w:p>
    <w:tbl>
      <w:tblPr>
        <w:tblStyle w:val="Tabelacomgrade"/>
        <w:tblW w:w="5000" w:type="pct"/>
        <w:tblBorders>
          <w:top w:val="single" w:sz="4" w:space="0" w:color="C79F22"/>
          <w:left w:val="single" w:sz="4" w:space="0" w:color="C79F22"/>
          <w:bottom w:val="single" w:sz="4" w:space="0" w:color="C79F22"/>
          <w:right w:val="single" w:sz="4" w:space="0" w:color="C79F22"/>
          <w:insideH w:val="single" w:sz="4" w:space="0" w:color="C79F22"/>
          <w:insideV w:val="single" w:sz="4" w:space="0" w:color="C79F22"/>
        </w:tblBorders>
        <w:tblLook w:val="04A0" w:firstRow="1" w:lastRow="0" w:firstColumn="1" w:lastColumn="0" w:noHBand="0" w:noVBand="1"/>
      </w:tblPr>
      <w:tblGrid>
        <w:gridCol w:w="2254"/>
        <w:gridCol w:w="2030"/>
        <w:gridCol w:w="4210"/>
      </w:tblGrid>
      <w:tr w:rsidR="003268AE" w:rsidRPr="003A6E11" w14:paraId="0BA3AC3D" w14:textId="77777777" w:rsidTr="003268AE">
        <w:tc>
          <w:tcPr>
            <w:tcW w:w="1327" w:type="pct"/>
            <w:shd w:val="clear" w:color="auto" w:fill="333D4E"/>
          </w:tcPr>
          <w:p w14:paraId="2CC82334" w14:textId="77777777" w:rsidR="003268AE" w:rsidRPr="003A6E11" w:rsidRDefault="003268AE" w:rsidP="003A6E11">
            <w:pPr>
              <w:jc w:val="center"/>
              <w:rPr>
                <w:b/>
              </w:rPr>
            </w:pPr>
            <w:r w:rsidRPr="003A6E11">
              <w:rPr>
                <w:b/>
              </w:rPr>
              <w:t>SGBD</w:t>
            </w:r>
          </w:p>
        </w:tc>
        <w:tc>
          <w:tcPr>
            <w:tcW w:w="1195" w:type="pct"/>
            <w:shd w:val="clear" w:color="auto" w:fill="333D4E"/>
          </w:tcPr>
          <w:p w14:paraId="14FB482D" w14:textId="77777777" w:rsidR="003268AE" w:rsidRPr="003A6E11" w:rsidRDefault="003268AE" w:rsidP="003A6E11">
            <w:pPr>
              <w:jc w:val="center"/>
              <w:rPr>
                <w:b/>
              </w:rPr>
            </w:pPr>
            <w:r w:rsidRPr="003A6E11">
              <w:rPr>
                <w:b/>
              </w:rPr>
              <w:t>Versão</w:t>
            </w:r>
          </w:p>
        </w:tc>
        <w:tc>
          <w:tcPr>
            <w:tcW w:w="2478" w:type="pct"/>
            <w:shd w:val="clear" w:color="auto" w:fill="333D4E"/>
          </w:tcPr>
          <w:p w14:paraId="070CA85D" w14:textId="77777777" w:rsidR="003268AE" w:rsidRPr="003A6E11" w:rsidRDefault="003268AE" w:rsidP="003A6E11">
            <w:pPr>
              <w:jc w:val="center"/>
              <w:rPr>
                <w:b/>
              </w:rPr>
            </w:pPr>
          </w:p>
        </w:tc>
      </w:tr>
      <w:tr w:rsidR="00D85632" w14:paraId="22E60545" w14:textId="77777777" w:rsidTr="00D85632">
        <w:trPr>
          <w:trHeight w:val="270"/>
        </w:trPr>
        <w:tc>
          <w:tcPr>
            <w:tcW w:w="1327" w:type="pct"/>
            <w:vMerge w:val="restart"/>
          </w:tcPr>
          <w:p w14:paraId="21135955" w14:textId="77777777" w:rsidR="00D85632" w:rsidRDefault="00D85632" w:rsidP="003A6E11">
            <w:r>
              <w:t>Oracle</w:t>
            </w:r>
          </w:p>
        </w:tc>
        <w:tc>
          <w:tcPr>
            <w:tcW w:w="1195" w:type="pct"/>
          </w:tcPr>
          <w:p w14:paraId="7E56DC0E" w14:textId="77777777" w:rsidR="00D85632" w:rsidRDefault="00D85632" w:rsidP="003A6E11">
            <w:r>
              <w:t>Produção: 11.2.04</w:t>
            </w:r>
          </w:p>
        </w:tc>
        <w:tc>
          <w:tcPr>
            <w:tcW w:w="2478" w:type="pct"/>
            <w:vMerge w:val="restart"/>
          </w:tcPr>
          <w:p w14:paraId="6544FE8B" w14:textId="77777777" w:rsidR="00D85632" w:rsidRPr="00EE40EE" w:rsidRDefault="00D85632" w:rsidP="00457224">
            <w:pPr>
              <w:rPr>
                <w:i/>
                <w:color w:val="0000FF"/>
              </w:rPr>
            </w:pPr>
            <w:r w:rsidRPr="00EE40EE">
              <w:rPr>
                <w:i/>
                <w:color w:val="0000FF"/>
              </w:rPr>
              <w:t xml:space="preserve">&lt; </w:t>
            </w:r>
            <w:r>
              <w:rPr>
                <w:i/>
                <w:color w:val="0000FF"/>
              </w:rPr>
              <w:t>Marcar com X se o SGBD utilizado for o Oracle na versão aqui ind</w:t>
            </w:r>
            <w:r w:rsidR="00AE75BB">
              <w:rPr>
                <w:i/>
                <w:color w:val="0000FF"/>
              </w:rPr>
              <w:t>i</w:t>
            </w:r>
            <w:r>
              <w:rPr>
                <w:i/>
                <w:color w:val="0000FF"/>
              </w:rPr>
              <w:t>cada</w:t>
            </w:r>
            <w:r w:rsidR="00AE75BB">
              <w:rPr>
                <w:i/>
                <w:color w:val="0000FF"/>
              </w:rPr>
              <w:t>, em caso contrário</w:t>
            </w:r>
            <w:r w:rsidR="008C6FDC">
              <w:rPr>
                <w:i/>
                <w:color w:val="0000FF"/>
              </w:rPr>
              <w:t>,</w:t>
            </w:r>
            <w:r w:rsidR="00AE75BB">
              <w:rPr>
                <w:i/>
                <w:color w:val="0000FF"/>
              </w:rPr>
              <w:t xml:space="preserve"> não será aceito</w:t>
            </w:r>
            <w:r w:rsidR="00296DF4">
              <w:rPr>
                <w:i/>
                <w:color w:val="0000FF"/>
              </w:rPr>
              <w:t xml:space="preserve"> – para o caso do Oracle, a aplicação deve funcionar nas duas versões</w:t>
            </w:r>
            <w:r w:rsidRPr="00EE40EE">
              <w:rPr>
                <w:i/>
                <w:color w:val="0000FF"/>
              </w:rPr>
              <w:t>&gt;</w:t>
            </w:r>
          </w:p>
        </w:tc>
      </w:tr>
      <w:tr w:rsidR="00D85632" w14:paraId="4320642C" w14:textId="77777777" w:rsidTr="003268AE">
        <w:trPr>
          <w:trHeight w:val="270"/>
        </w:trPr>
        <w:tc>
          <w:tcPr>
            <w:tcW w:w="1327" w:type="pct"/>
            <w:vMerge/>
          </w:tcPr>
          <w:p w14:paraId="6D64FBAF" w14:textId="77777777" w:rsidR="00D85632" w:rsidRDefault="00D85632" w:rsidP="003A6E11"/>
        </w:tc>
        <w:tc>
          <w:tcPr>
            <w:tcW w:w="1195" w:type="pct"/>
          </w:tcPr>
          <w:p w14:paraId="56185DB0" w14:textId="77777777" w:rsidR="00D85632" w:rsidRDefault="00D85632" w:rsidP="003A6E11">
            <w:r>
              <w:t>Outros Ambientes: 12.2.1</w:t>
            </w:r>
          </w:p>
        </w:tc>
        <w:tc>
          <w:tcPr>
            <w:tcW w:w="2478" w:type="pct"/>
            <w:vMerge/>
          </w:tcPr>
          <w:p w14:paraId="7FCEFF2D" w14:textId="77777777" w:rsidR="00D85632" w:rsidRPr="00EE40EE" w:rsidRDefault="00D85632" w:rsidP="00457224">
            <w:pPr>
              <w:rPr>
                <w:i/>
                <w:color w:val="0000FF"/>
              </w:rPr>
            </w:pPr>
          </w:p>
        </w:tc>
      </w:tr>
      <w:tr w:rsidR="003268AE" w14:paraId="13B9C022" w14:textId="77777777" w:rsidTr="003268AE">
        <w:tc>
          <w:tcPr>
            <w:tcW w:w="1327" w:type="pct"/>
          </w:tcPr>
          <w:p w14:paraId="4CAFCB84" w14:textId="77777777" w:rsidR="003268AE" w:rsidRDefault="003268AE" w:rsidP="00457224">
            <w:r>
              <w:t>Postgres</w:t>
            </w:r>
          </w:p>
        </w:tc>
        <w:tc>
          <w:tcPr>
            <w:tcW w:w="1195" w:type="pct"/>
          </w:tcPr>
          <w:p w14:paraId="0F1F7780" w14:textId="77777777" w:rsidR="003268AE" w:rsidRDefault="00D85632" w:rsidP="00457224">
            <w:r>
              <w:t>9.6</w:t>
            </w:r>
          </w:p>
        </w:tc>
        <w:tc>
          <w:tcPr>
            <w:tcW w:w="2478" w:type="pct"/>
          </w:tcPr>
          <w:p w14:paraId="4538163B" w14:textId="77777777" w:rsidR="003268AE" w:rsidRDefault="003268AE" w:rsidP="00457224">
            <w:r w:rsidRPr="005038EE">
              <w:rPr>
                <w:i/>
                <w:color w:val="0000FF"/>
              </w:rPr>
              <w:t xml:space="preserve">&lt; Marcar com X se o SGBD utilizado for o </w:t>
            </w:r>
            <w:r>
              <w:rPr>
                <w:i/>
                <w:color w:val="0000FF"/>
              </w:rPr>
              <w:t>Postgres</w:t>
            </w:r>
            <w:r w:rsidRPr="005038EE">
              <w:rPr>
                <w:i/>
                <w:color w:val="0000FF"/>
              </w:rPr>
              <w:t xml:space="preserve"> na versão </w:t>
            </w:r>
            <w:r w:rsidR="00AE75BB">
              <w:rPr>
                <w:i/>
                <w:color w:val="0000FF"/>
              </w:rPr>
              <w:t>aqui indicada, em caso contrário</w:t>
            </w:r>
            <w:r w:rsidR="008C6FDC">
              <w:rPr>
                <w:i/>
                <w:color w:val="0000FF"/>
              </w:rPr>
              <w:t>,</w:t>
            </w:r>
            <w:r w:rsidR="00AE75BB">
              <w:rPr>
                <w:i/>
                <w:color w:val="0000FF"/>
              </w:rPr>
              <w:t xml:space="preserve"> não será aceito</w:t>
            </w:r>
            <w:r w:rsidR="00AE75BB" w:rsidRPr="005038EE">
              <w:rPr>
                <w:i/>
                <w:color w:val="0000FF"/>
              </w:rPr>
              <w:t xml:space="preserve"> </w:t>
            </w:r>
            <w:r w:rsidRPr="005038EE">
              <w:rPr>
                <w:i/>
                <w:color w:val="0000FF"/>
              </w:rPr>
              <w:t>&gt;</w:t>
            </w:r>
          </w:p>
        </w:tc>
      </w:tr>
      <w:tr w:rsidR="003268AE" w14:paraId="5F8EDAF2" w14:textId="77777777" w:rsidTr="003268AE">
        <w:tc>
          <w:tcPr>
            <w:tcW w:w="1327" w:type="pct"/>
          </w:tcPr>
          <w:p w14:paraId="580CA501" w14:textId="77777777" w:rsidR="003268AE" w:rsidRDefault="003268AE" w:rsidP="00457224">
            <w:r>
              <w:t>MySQL</w:t>
            </w:r>
          </w:p>
        </w:tc>
        <w:tc>
          <w:tcPr>
            <w:tcW w:w="1195" w:type="pct"/>
          </w:tcPr>
          <w:p w14:paraId="7822EA3B" w14:textId="77777777" w:rsidR="003268AE" w:rsidRDefault="00AD0163" w:rsidP="00457224">
            <w:r>
              <w:t>5.</w:t>
            </w:r>
            <w:r w:rsidR="00D85632">
              <w:t>7</w:t>
            </w:r>
          </w:p>
        </w:tc>
        <w:tc>
          <w:tcPr>
            <w:tcW w:w="2478" w:type="pct"/>
          </w:tcPr>
          <w:p w14:paraId="6E80D596" w14:textId="77777777" w:rsidR="003268AE" w:rsidRDefault="003268AE" w:rsidP="00457224">
            <w:r w:rsidRPr="005038EE">
              <w:rPr>
                <w:i/>
                <w:color w:val="0000FF"/>
              </w:rPr>
              <w:t xml:space="preserve">&lt; Marcar com X se o SGBD utilizado for o </w:t>
            </w:r>
            <w:r>
              <w:rPr>
                <w:i/>
                <w:color w:val="0000FF"/>
              </w:rPr>
              <w:t>MySQL</w:t>
            </w:r>
            <w:r w:rsidRPr="005038EE">
              <w:rPr>
                <w:i/>
                <w:color w:val="0000FF"/>
              </w:rPr>
              <w:t xml:space="preserve"> na versão </w:t>
            </w:r>
            <w:r w:rsidR="00AE75BB">
              <w:rPr>
                <w:i/>
                <w:color w:val="0000FF"/>
              </w:rPr>
              <w:t>aqui indicada, em caso contrário</w:t>
            </w:r>
            <w:r w:rsidR="008C6FDC">
              <w:rPr>
                <w:i/>
                <w:color w:val="0000FF"/>
              </w:rPr>
              <w:t>,</w:t>
            </w:r>
            <w:r w:rsidR="00AE75BB">
              <w:rPr>
                <w:i/>
                <w:color w:val="0000FF"/>
              </w:rPr>
              <w:t xml:space="preserve"> não será aceito</w:t>
            </w:r>
            <w:r w:rsidR="00AE75BB" w:rsidRPr="005038EE">
              <w:rPr>
                <w:i/>
                <w:color w:val="0000FF"/>
              </w:rPr>
              <w:t xml:space="preserve"> </w:t>
            </w:r>
            <w:r w:rsidRPr="005038EE">
              <w:rPr>
                <w:i/>
                <w:color w:val="0000FF"/>
              </w:rPr>
              <w:t>&gt;</w:t>
            </w:r>
          </w:p>
        </w:tc>
      </w:tr>
      <w:tr w:rsidR="003268AE" w14:paraId="5E9E2F88" w14:textId="77777777" w:rsidTr="003268AE">
        <w:tc>
          <w:tcPr>
            <w:tcW w:w="1327" w:type="pct"/>
          </w:tcPr>
          <w:p w14:paraId="06724EB5" w14:textId="77777777" w:rsidR="003268AE" w:rsidRDefault="003268AE" w:rsidP="00457224">
            <w:r>
              <w:t>SQLServer</w:t>
            </w:r>
          </w:p>
        </w:tc>
        <w:tc>
          <w:tcPr>
            <w:tcW w:w="1195" w:type="pct"/>
          </w:tcPr>
          <w:p w14:paraId="6A423298" w14:textId="77777777" w:rsidR="003268AE" w:rsidRDefault="00D85632" w:rsidP="00457224">
            <w:r>
              <w:t>2014</w:t>
            </w:r>
          </w:p>
        </w:tc>
        <w:tc>
          <w:tcPr>
            <w:tcW w:w="2478" w:type="pct"/>
          </w:tcPr>
          <w:p w14:paraId="089BDDF2" w14:textId="77777777" w:rsidR="003268AE" w:rsidRDefault="003268AE" w:rsidP="00457224">
            <w:r w:rsidRPr="005038EE">
              <w:rPr>
                <w:i/>
                <w:color w:val="0000FF"/>
              </w:rPr>
              <w:t xml:space="preserve">&lt; Marcar com X se o SGBD utilizado for o </w:t>
            </w:r>
            <w:r>
              <w:rPr>
                <w:i/>
                <w:color w:val="0000FF"/>
              </w:rPr>
              <w:t>SQLServer</w:t>
            </w:r>
            <w:r w:rsidRPr="005038EE">
              <w:rPr>
                <w:i/>
                <w:color w:val="0000FF"/>
              </w:rPr>
              <w:t xml:space="preserve"> na versão </w:t>
            </w:r>
            <w:r w:rsidR="00AE75BB">
              <w:rPr>
                <w:i/>
                <w:color w:val="0000FF"/>
              </w:rPr>
              <w:t>aqui indicada, em caso contrário</w:t>
            </w:r>
            <w:r w:rsidR="008C6FDC">
              <w:rPr>
                <w:i/>
                <w:color w:val="0000FF"/>
              </w:rPr>
              <w:t>,</w:t>
            </w:r>
            <w:r w:rsidR="00AE75BB">
              <w:rPr>
                <w:i/>
                <w:color w:val="0000FF"/>
              </w:rPr>
              <w:t xml:space="preserve"> não será aceito</w:t>
            </w:r>
            <w:r w:rsidR="00AE75BB" w:rsidRPr="005038EE">
              <w:rPr>
                <w:i/>
                <w:color w:val="0000FF"/>
              </w:rPr>
              <w:t xml:space="preserve"> </w:t>
            </w:r>
            <w:r w:rsidRPr="005038EE">
              <w:rPr>
                <w:i/>
                <w:color w:val="0000FF"/>
              </w:rPr>
              <w:t>&gt;</w:t>
            </w:r>
          </w:p>
        </w:tc>
      </w:tr>
    </w:tbl>
    <w:p w14:paraId="75924B18" w14:textId="77777777" w:rsidR="00EE40EE" w:rsidRDefault="00EE40EE" w:rsidP="003A6E11"/>
    <w:tbl>
      <w:tblPr>
        <w:tblStyle w:val="Tabelacomgrade"/>
        <w:tblW w:w="0" w:type="auto"/>
        <w:tblBorders>
          <w:top w:val="single" w:sz="4" w:space="0" w:color="C79F22"/>
          <w:left w:val="single" w:sz="4" w:space="0" w:color="C79F22"/>
          <w:bottom w:val="single" w:sz="4" w:space="0" w:color="C79F22"/>
          <w:right w:val="single" w:sz="4" w:space="0" w:color="C79F22"/>
          <w:insideH w:val="single" w:sz="4" w:space="0" w:color="C79F22"/>
          <w:insideV w:val="single" w:sz="4" w:space="0" w:color="C79F22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3A6E11" w:rsidRPr="003A6E11" w14:paraId="5691D250" w14:textId="77777777" w:rsidTr="00457224">
        <w:tc>
          <w:tcPr>
            <w:tcW w:w="3114" w:type="dxa"/>
            <w:shd w:val="clear" w:color="auto" w:fill="333D4E"/>
          </w:tcPr>
          <w:p w14:paraId="0857DDFE" w14:textId="77777777" w:rsidR="003A6E11" w:rsidRPr="003A6E11" w:rsidRDefault="003A6E11" w:rsidP="000E1B24">
            <w:pPr>
              <w:jc w:val="center"/>
              <w:rPr>
                <w:b/>
              </w:rPr>
            </w:pPr>
            <w:r>
              <w:rPr>
                <w:b/>
              </w:rPr>
              <w:t>Informações sobre Volumetria</w:t>
            </w:r>
          </w:p>
        </w:tc>
        <w:tc>
          <w:tcPr>
            <w:tcW w:w="5380" w:type="dxa"/>
            <w:shd w:val="clear" w:color="auto" w:fill="333D4E"/>
          </w:tcPr>
          <w:p w14:paraId="2DEC1FEF" w14:textId="77777777" w:rsidR="003A6E11" w:rsidRPr="003A6E11" w:rsidRDefault="003A6E11" w:rsidP="000E1B24">
            <w:pPr>
              <w:jc w:val="center"/>
              <w:rPr>
                <w:b/>
              </w:rPr>
            </w:pPr>
            <w:r>
              <w:rPr>
                <w:b/>
              </w:rPr>
              <w:t>Valor Estimado</w:t>
            </w:r>
          </w:p>
        </w:tc>
      </w:tr>
      <w:tr w:rsidR="00652CD4" w14:paraId="300355E9" w14:textId="77777777" w:rsidTr="00457224">
        <w:tc>
          <w:tcPr>
            <w:tcW w:w="3114" w:type="dxa"/>
          </w:tcPr>
          <w:p w14:paraId="333E33A2" w14:textId="77777777" w:rsidR="00652CD4" w:rsidRDefault="00652CD4" w:rsidP="00652CD4">
            <w:r>
              <w:t>Inicial</w:t>
            </w:r>
          </w:p>
        </w:tc>
        <w:tc>
          <w:tcPr>
            <w:tcW w:w="5380" w:type="dxa"/>
          </w:tcPr>
          <w:p w14:paraId="744FAF41" w14:textId="77777777" w:rsidR="00652CD4" w:rsidRPr="008E79D7" w:rsidRDefault="00652CD4" w:rsidP="00652CD4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8E79D7">
              <w:rPr>
                <w:rFonts w:ascii="Arial" w:hAnsi="Arial" w:cs="Arial"/>
                <w:i/>
                <w:color w:val="0000FF"/>
                <w:sz w:val="20"/>
                <w:szCs w:val="20"/>
              </w:rPr>
              <w:t>&lt;Informar a previsão de volumetria inicial&gt;</w:t>
            </w:r>
          </w:p>
        </w:tc>
      </w:tr>
      <w:tr w:rsidR="00652CD4" w14:paraId="142FCF5D" w14:textId="77777777" w:rsidTr="00457224">
        <w:tc>
          <w:tcPr>
            <w:tcW w:w="3114" w:type="dxa"/>
          </w:tcPr>
          <w:p w14:paraId="0B03AAE2" w14:textId="77777777" w:rsidR="00652CD4" w:rsidRDefault="00652CD4" w:rsidP="00652CD4">
            <w:r>
              <w:t>Após um Ano de Uso</w:t>
            </w:r>
          </w:p>
        </w:tc>
        <w:tc>
          <w:tcPr>
            <w:tcW w:w="5380" w:type="dxa"/>
          </w:tcPr>
          <w:p w14:paraId="26BF4E69" w14:textId="77777777" w:rsidR="00652CD4" w:rsidRPr="008E79D7" w:rsidRDefault="00652CD4" w:rsidP="00652CD4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8E79D7">
              <w:rPr>
                <w:rFonts w:ascii="Arial" w:hAnsi="Arial" w:cs="Arial"/>
                <w:i/>
                <w:color w:val="0000FF"/>
                <w:sz w:val="20"/>
                <w:szCs w:val="20"/>
              </w:rPr>
              <w:t>&lt;Informar a previsão de volumetria após um ano em uso&gt;</w:t>
            </w:r>
          </w:p>
        </w:tc>
      </w:tr>
    </w:tbl>
    <w:p w14:paraId="0932E5A0" w14:textId="77777777" w:rsidR="00A11C6F" w:rsidRDefault="00A11C6F"/>
    <w:p w14:paraId="009FDF81" w14:textId="77777777" w:rsidR="00817373" w:rsidRDefault="009857AF" w:rsidP="00817373">
      <w:pPr>
        <w:pStyle w:val="Ttulo1"/>
      </w:pPr>
      <w:r>
        <w:lastRenderedPageBreak/>
        <w:t>Modelo de Dados</w:t>
      </w:r>
    </w:p>
    <w:p w14:paraId="104E0A12" w14:textId="77777777" w:rsidR="00A06FA6" w:rsidRDefault="00A06FA6" w:rsidP="009857AF">
      <w:r>
        <w:t>As condições para o recebimento do modelo de dados são as seguintes:</w:t>
      </w:r>
    </w:p>
    <w:p w14:paraId="1CE4FC7B" w14:textId="77777777" w:rsidR="00A06FA6" w:rsidRDefault="00710A4F" w:rsidP="00710A4F">
      <w:pPr>
        <w:pStyle w:val="PargrafodaLista"/>
        <w:numPr>
          <w:ilvl w:val="0"/>
          <w:numId w:val="4"/>
        </w:numPr>
      </w:pPr>
      <w:r>
        <w:t xml:space="preserve">Arquivo na </w:t>
      </w:r>
      <w:r w:rsidR="00E622DF">
        <w:t>ferramenta de</w:t>
      </w:r>
      <w:r>
        <w:t xml:space="preserve"> modelagem indicada na tabela a seguir ou em um script com a criação/ manutenção dos objetos no banco de dados.</w:t>
      </w:r>
    </w:p>
    <w:p w14:paraId="17B6B28C" w14:textId="77777777" w:rsidR="00710A4F" w:rsidRDefault="00710A4F" w:rsidP="00710A4F">
      <w:pPr>
        <w:pStyle w:val="PargrafodaLista"/>
        <w:numPr>
          <w:ilvl w:val="0"/>
          <w:numId w:val="4"/>
        </w:numPr>
      </w:pPr>
      <w:r>
        <w:t xml:space="preserve">O modelo de dados deve estar de acordo com a Metodologia de Administração de Dados (MAD), disponível nos links </w:t>
      </w:r>
      <w:hyperlink r:id="rId7" w:history="1">
        <w:r w:rsidRPr="00DE5018">
          <w:rPr>
            <w:rStyle w:val="Hyperlink"/>
            <w:color w:val="0000FF"/>
          </w:rPr>
          <w:t>https://ced.saude.gov.br/index.php?r=site%2Fmad</w:t>
        </w:r>
      </w:hyperlink>
      <w:r>
        <w:t xml:space="preserve"> ;</w:t>
      </w:r>
    </w:p>
    <w:p w14:paraId="56EC5500" w14:textId="77777777" w:rsidR="003D2067" w:rsidRDefault="003D2067" w:rsidP="003D2067">
      <w:pPr>
        <w:pStyle w:val="Commarcadores2"/>
        <w:numPr>
          <w:ilvl w:val="0"/>
          <w:numId w:val="4"/>
        </w:numPr>
      </w:pPr>
      <w:r>
        <w:t>As definições contidas nos documentos da MAD devem ser obrigatoriamente seguidas nos modelos de dados do Ministério da Saúde</w:t>
      </w:r>
      <w:r w:rsidR="008C6FDC">
        <w:t>,</w:t>
      </w:r>
      <w:r>
        <w:t xml:space="preserve"> conforme portarias números 664 e 665</w:t>
      </w:r>
      <w:r w:rsidR="008C6FDC">
        <w:t>, publicadas em 10.08.</w:t>
      </w:r>
      <w:r>
        <w:t>2016, que torna obrigatório que todo de</w:t>
      </w:r>
      <w:r w:rsidR="008C6FDC">
        <w:t xml:space="preserve">senvolvimento de sistema deverá </w:t>
      </w:r>
      <w:r>
        <w:t>seguir obrigatoriamente as metodologias MDS (Metodologia de Desenvolvimento de Sistemas) e MAD (Metodologia de Administração de Dados).</w:t>
      </w:r>
    </w:p>
    <w:p w14:paraId="4385C2AB" w14:textId="77777777" w:rsidR="00710A4F" w:rsidRDefault="003D2067" w:rsidP="00296DF4">
      <w:r>
        <w:t>De acordo com a MAD, o</w:t>
      </w:r>
      <w:r w:rsidR="00710A4F">
        <w:t xml:space="preserve"> modelo de dados será avaliado pela equipe da DAAED em até dois níveis:</w:t>
      </w:r>
    </w:p>
    <w:p w14:paraId="7D89FE39" w14:textId="77777777" w:rsidR="00710A4F" w:rsidRDefault="00710A4F" w:rsidP="00710A4F">
      <w:pPr>
        <w:pStyle w:val="PargrafodaLista"/>
        <w:numPr>
          <w:ilvl w:val="1"/>
          <w:numId w:val="4"/>
        </w:numPr>
      </w:pPr>
      <w:r>
        <w:t>Análise Técnica: a avaliação é feita na nomenclatura, qualidade do modelo de dados e documentação conforme definido na MAD.</w:t>
      </w:r>
    </w:p>
    <w:p w14:paraId="31EAC453" w14:textId="77777777" w:rsidR="00710A4F" w:rsidRDefault="00710A4F" w:rsidP="00710A4F">
      <w:pPr>
        <w:pStyle w:val="PargrafodaLista"/>
        <w:numPr>
          <w:ilvl w:val="1"/>
          <w:numId w:val="4"/>
        </w:numPr>
      </w:pPr>
      <w:r>
        <w:t xml:space="preserve">Análise Negocial: a avaliação é feita de forma a se verificar se o modelo de dados é aderente as regras de negócio </w:t>
      </w:r>
      <w:r w:rsidR="00296DF4">
        <w:t>da aplicação</w:t>
      </w:r>
      <w:r>
        <w:t xml:space="preserve">, sendo que este nível de avaliação somente pode ser feito se a documentação indicada </w:t>
      </w:r>
      <w:r w:rsidR="00296DF4">
        <w:t xml:space="preserve">a seguir </w:t>
      </w:r>
      <w:r w:rsidR="003D2067">
        <w:t>for entregue. Para a análise negocial</w:t>
      </w:r>
      <w:r w:rsidR="008C6FDC">
        <w:t>,</w:t>
      </w:r>
      <w:r w:rsidR="003D2067">
        <w:t xml:space="preserve"> os documentos necessários</w:t>
      </w:r>
      <w:r w:rsidR="00296DF4">
        <w:t xml:space="preserve"> ou equivalentes</w:t>
      </w:r>
      <w:r w:rsidR="008C6FDC">
        <w:t xml:space="preserve"> </w:t>
      </w:r>
      <w:r w:rsidR="003D2067">
        <w:t>são:</w:t>
      </w:r>
    </w:p>
    <w:p w14:paraId="167A621F" w14:textId="77777777" w:rsidR="003D2067" w:rsidRDefault="003268AE" w:rsidP="003D2067">
      <w:pPr>
        <w:pStyle w:val="PargrafodaLista"/>
        <w:numPr>
          <w:ilvl w:val="2"/>
          <w:numId w:val="4"/>
        </w:numPr>
      </w:pPr>
      <w:r>
        <w:t>Documento de Visão;</w:t>
      </w:r>
    </w:p>
    <w:p w14:paraId="7012FB0D" w14:textId="77777777" w:rsidR="003268AE" w:rsidRDefault="00296DF4" w:rsidP="003D2067">
      <w:pPr>
        <w:pStyle w:val="PargrafodaLista"/>
        <w:numPr>
          <w:ilvl w:val="2"/>
          <w:numId w:val="4"/>
        </w:numPr>
      </w:pPr>
      <w:r>
        <w:t>Documento d</w:t>
      </w:r>
      <w:r w:rsidR="003268AE">
        <w:t>e Especificação de Negócio (Caso de Uso);</w:t>
      </w:r>
    </w:p>
    <w:p w14:paraId="23361FFB" w14:textId="77777777" w:rsidR="003268AE" w:rsidRDefault="003268AE" w:rsidP="003D2067">
      <w:pPr>
        <w:pStyle w:val="PargrafodaLista"/>
        <w:numPr>
          <w:ilvl w:val="2"/>
          <w:numId w:val="4"/>
        </w:numPr>
      </w:pPr>
      <w:r>
        <w:t>Documento de Interface;</w:t>
      </w:r>
    </w:p>
    <w:p w14:paraId="6E759634" w14:textId="77777777" w:rsidR="003268AE" w:rsidRDefault="003268AE" w:rsidP="003D2067">
      <w:pPr>
        <w:pStyle w:val="PargrafodaLista"/>
        <w:numPr>
          <w:ilvl w:val="2"/>
          <w:numId w:val="4"/>
        </w:numPr>
      </w:pPr>
      <w:r>
        <w:t>Regras de Negócio.</w:t>
      </w:r>
    </w:p>
    <w:tbl>
      <w:tblPr>
        <w:tblStyle w:val="Tabelacomgrade"/>
        <w:tblW w:w="5000" w:type="pct"/>
        <w:tblBorders>
          <w:top w:val="single" w:sz="4" w:space="0" w:color="C79F22"/>
          <w:left w:val="single" w:sz="4" w:space="0" w:color="C79F22"/>
          <w:bottom w:val="single" w:sz="4" w:space="0" w:color="C79F22"/>
          <w:right w:val="single" w:sz="4" w:space="0" w:color="C79F22"/>
          <w:insideH w:val="single" w:sz="4" w:space="0" w:color="C79F22"/>
          <w:insideV w:val="single" w:sz="4" w:space="0" w:color="C79F22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3268AE" w:rsidRPr="003A6E11" w14:paraId="6A42CCCB" w14:textId="77777777" w:rsidTr="00AE75BB">
        <w:tc>
          <w:tcPr>
            <w:tcW w:w="1833" w:type="pct"/>
            <w:shd w:val="clear" w:color="auto" w:fill="333D4E"/>
          </w:tcPr>
          <w:p w14:paraId="301047AC" w14:textId="77777777" w:rsidR="003268AE" w:rsidRPr="003A6E11" w:rsidRDefault="003268AE" w:rsidP="00F5593D">
            <w:pPr>
              <w:jc w:val="center"/>
              <w:rPr>
                <w:b/>
              </w:rPr>
            </w:pPr>
            <w:r>
              <w:rPr>
                <w:b/>
              </w:rPr>
              <w:t>Modelo de Dados</w:t>
            </w:r>
          </w:p>
        </w:tc>
        <w:tc>
          <w:tcPr>
            <w:tcW w:w="3167" w:type="pct"/>
            <w:shd w:val="clear" w:color="auto" w:fill="333D4E"/>
          </w:tcPr>
          <w:p w14:paraId="7B9A51D8" w14:textId="77777777" w:rsidR="003268AE" w:rsidRPr="003A6E11" w:rsidRDefault="003268AE" w:rsidP="005D4512">
            <w:pPr>
              <w:jc w:val="center"/>
              <w:rPr>
                <w:b/>
              </w:rPr>
            </w:pPr>
            <w:r>
              <w:rPr>
                <w:b/>
              </w:rPr>
              <w:t>Documento</w:t>
            </w:r>
          </w:p>
        </w:tc>
      </w:tr>
      <w:tr w:rsidR="003268AE" w14:paraId="15631CC9" w14:textId="77777777" w:rsidTr="00AE75BB">
        <w:tc>
          <w:tcPr>
            <w:tcW w:w="1833" w:type="pct"/>
          </w:tcPr>
          <w:p w14:paraId="1FB7755E" w14:textId="77777777" w:rsidR="003268AE" w:rsidRDefault="003268AE" w:rsidP="00296DF4">
            <w:pPr>
              <w:jc w:val="left"/>
            </w:pPr>
            <w:r>
              <w:t>PowerDesigner versão 15.0.0.2613</w:t>
            </w:r>
          </w:p>
        </w:tc>
        <w:tc>
          <w:tcPr>
            <w:tcW w:w="3167" w:type="pct"/>
          </w:tcPr>
          <w:p w14:paraId="5C1E6705" w14:textId="77777777" w:rsidR="003268AE" w:rsidRPr="00EE40EE" w:rsidRDefault="003268AE" w:rsidP="002354A4">
            <w:pPr>
              <w:rPr>
                <w:i/>
                <w:color w:val="0000FF"/>
              </w:rPr>
            </w:pPr>
            <w:r w:rsidRPr="005038EE">
              <w:rPr>
                <w:i/>
                <w:color w:val="0000FF"/>
              </w:rPr>
              <w:t xml:space="preserve">&lt; </w:t>
            </w:r>
            <w:r w:rsidR="002354A4">
              <w:rPr>
                <w:i/>
                <w:color w:val="0000FF"/>
              </w:rPr>
              <w:t>I</w:t>
            </w:r>
            <w:r>
              <w:rPr>
                <w:i/>
                <w:color w:val="0000FF"/>
              </w:rPr>
              <w:t>nformar o nome do arquivo</w:t>
            </w:r>
            <w:r w:rsidR="008C6FDC">
              <w:rPr>
                <w:i/>
                <w:color w:val="0000FF"/>
              </w:rPr>
              <w:t xml:space="preserve"> no</w:t>
            </w:r>
            <w:r w:rsidR="002354A4">
              <w:rPr>
                <w:i/>
                <w:color w:val="0000FF"/>
              </w:rPr>
              <w:t xml:space="preserve"> caso do modelo ser entregue na ferramenta aqui indicada</w:t>
            </w:r>
            <w:r w:rsidRPr="005038EE">
              <w:rPr>
                <w:i/>
                <w:color w:val="0000FF"/>
              </w:rPr>
              <w:t>&gt;</w:t>
            </w:r>
          </w:p>
        </w:tc>
      </w:tr>
      <w:tr w:rsidR="003268AE" w14:paraId="7934742B" w14:textId="77777777" w:rsidTr="00AE75BB">
        <w:tc>
          <w:tcPr>
            <w:tcW w:w="1833" w:type="pct"/>
          </w:tcPr>
          <w:p w14:paraId="16540910" w14:textId="77777777" w:rsidR="003268AE" w:rsidRDefault="003268AE" w:rsidP="005D4512">
            <w:r>
              <w:t>Script</w:t>
            </w:r>
          </w:p>
        </w:tc>
        <w:tc>
          <w:tcPr>
            <w:tcW w:w="3167" w:type="pct"/>
          </w:tcPr>
          <w:p w14:paraId="30EC6D93" w14:textId="77777777" w:rsidR="003268AE" w:rsidRDefault="003268AE" w:rsidP="002354A4">
            <w:r w:rsidRPr="005038EE">
              <w:rPr>
                <w:i/>
                <w:color w:val="0000FF"/>
              </w:rPr>
              <w:t xml:space="preserve">&lt; </w:t>
            </w:r>
            <w:r w:rsidR="002354A4">
              <w:rPr>
                <w:i/>
                <w:color w:val="0000FF"/>
              </w:rPr>
              <w:t>I</w:t>
            </w:r>
            <w:r>
              <w:rPr>
                <w:i/>
                <w:color w:val="0000FF"/>
              </w:rPr>
              <w:t>nformar o nome do arquivo</w:t>
            </w:r>
            <w:r w:rsidR="002354A4">
              <w:rPr>
                <w:i/>
                <w:color w:val="0000FF"/>
              </w:rPr>
              <w:t xml:space="preserve"> que contém o script sql</w:t>
            </w:r>
            <w:r w:rsidRPr="005038EE">
              <w:rPr>
                <w:i/>
                <w:color w:val="0000FF"/>
              </w:rPr>
              <w:t>&gt;</w:t>
            </w:r>
          </w:p>
        </w:tc>
      </w:tr>
      <w:tr w:rsidR="003268AE" w14:paraId="51AB8E55" w14:textId="77777777" w:rsidTr="00AE75BB">
        <w:tc>
          <w:tcPr>
            <w:tcW w:w="1833" w:type="pct"/>
          </w:tcPr>
          <w:p w14:paraId="6C5998AB" w14:textId="77777777" w:rsidR="003268AE" w:rsidRDefault="003268AE" w:rsidP="005D4512">
            <w:r>
              <w:t>Nome do Esquema</w:t>
            </w:r>
          </w:p>
        </w:tc>
        <w:tc>
          <w:tcPr>
            <w:tcW w:w="3167" w:type="pct"/>
          </w:tcPr>
          <w:p w14:paraId="4442CC7C" w14:textId="77777777" w:rsidR="003268AE" w:rsidRDefault="003268AE" w:rsidP="00A06FA6">
            <w:r w:rsidRPr="005038EE">
              <w:rPr>
                <w:i/>
                <w:color w:val="0000FF"/>
              </w:rPr>
              <w:t xml:space="preserve">&lt; </w:t>
            </w:r>
            <w:r>
              <w:rPr>
                <w:i/>
                <w:color w:val="0000FF"/>
              </w:rPr>
              <w:t>Informar o nome do esquema no banco de dados de acordo com o padrão definido na MAD</w:t>
            </w:r>
            <w:r w:rsidRPr="005038EE">
              <w:rPr>
                <w:i/>
                <w:color w:val="0000FF"/>
              </w:rPr>
              <w:t>&gt;</w:t>
            </w:r>
          </w:p>
        </w:tc>
      </w:tr>
      <w:tr w:rsidR="003268AE" w14:paraId="27D7B35D" w14:textId="77777777" w:rsidTr="00AE75BB">
        <w:tc>
          <w:tcPr>
            <w:tcW w:w="1833" w:type="pct"/>
          </w:tcPr>
          <w:p w14:paraId="3D803230" w14:textId="77777777" w:rsidR="003268AE" w:rsidRDefault="003268AE" w:rsidP="00296DF4">
            <w:pPr>
              <w:jc w:val="left"/>
            </w:pPr>
            <w:r>
              <w:lastRenderedPageBreak/>
              <w:t>Reutilização de objetos de banco de dados</w:t>
            </w:r>
          </w:p>
        </w:tc>
        <w:tc>
          <w:tcPr>
            <w:tcW w:w="3167" w:type="pct"/>
          </w:tcPr>
          <w:p w14:paraId="7A123712" w14:textId="77777777" w:rsidR="003268AE" w:rsidRDefault="003268AE" w:rsidP="0000215E">
            <w:r w:rsidRPr="005038EE">
              <w:rPr>
                <w:i/>
                <w:color w:val="0000FF"/>
              </w:rPr>
              <w:t xml:space="preserve">&lt; </w:t>
            </w:r>
            <w:r>
              <w:rPr>
                <w:i/>
                <w:color w:val="0000FF"/>
              </w:rPr>
              <w:t xml:space="preserve">Informar o nome </w:t>
            </w:r>
            <w:r w:rsidR="00CB553A">
              <w:rPr>
                <w:i/>
                <w:color w:val="0000FF"/>
              </w:rPr>
              <w:t>de outro</w:t>
            </w:r>
            <w:r w:rsidR="007173C4">
              <w:rPr>
                <w:i/>
                <w:color w:val="0000FF"/>
              </w:rPr>
              <w:t xml:space="preserve">s </w:t>
            </w:r>
            <w:r>
              <w:rPr>
                <w:i/>
                <w:color w:val="0000FF"/>
              </w:rPr>
              <w:t xml:space="preserve"> esquemas </w:t>
            </w:r>
            <w:r w:rsidR="007173C4">
              <w:rPr>
                <w:i/>
                <w:color w:val="0000FF"/>
              </w:rPr>
              <w:t xml:space="preserve">que contenham </w:t>
            </w:r>
            <w:r>
              <w:rPr>
                <w:i/>
                <w:color w:val="0000FF"/>
              </w:rPr>
              <w:t xml:space="preserve"> objetos que são utilizados </w:t>
            </w:r>
            <w:r w:rsidR="0000215E">
              <w:rPr>
                <w:i/>
                <w:color w:val="0000FF"/>
              </w:rPr>
              <w:t>na aplicação</w:t>
            </w:r>
            <w:r w:rsidRPr="005038EE">
              <w:rPr>
                <w:i/>
                <w:color w:val="0000FF"/>
              </w:rPr>
              <w:t>&gt;</w:t>
            </w:r>
          </w:p>
        </w:tc>
      </w:tr>
      <w:tr w:rsidR="003268AE" w14:paraId="0CA2634E" w14:textId="77777777" w:rsidTr="00AE75BB">
        <w:tc>
          <w:tcPr>
            <w:tcW w:w="1833" w:type="pct"/>
          </w:tcPr>
          <w:p w14:paraId="1908BA26" w14:textId="77777777" w:rsidR="003268AE" w:rsidRDefault="003268AE" w:rsidP="00296DF4">
            <w:pPr>
              <w:jc w:val="left"/>
            </w:pPr>
            <w:r>
              <w:t>Documentação</w:t>
            </w:r>
            <w:r w:rsidR="00CB553A">
              <w:t xml:space="preserve"> para análise negocial do modelo de dados</w:t>
            </w:r>
          </w:p>
        </w:tc>
        <w:tc>
          <w:tcPr>
            <w:tcW w:w="3167" w:type="pct"/>
          </w:tcPr>
          <w:p w14:paraId="7EDA0297" w14:textId="77777777" w:rsidR="003268AE" w:rsidRPr="005038EE" w:rsidRDefault="003268AE" w:rsidP="003268AE">
            <w:pPr>
              <w:rPr>
                <w:i/>
                <w:color w:val="0000FF"/>
              </w:rPr>
            </w:pPr>
            <w:r w:rsidRPr="005038EE">
              <w:rPr>
                <w:i/>
                <w:color w:val="0000FF"/>
              </w:rPr>
              <w:t xml:space="preserve">&lt; </w:t>
            </w:r>
            <w:r>
              <w:rPr>
                <w:i/>
                <w:color w:val="0000FF"/>
              </w:rPr>
              <w:t>Informar o nome dos documentos que estão sendo entregues de acordo com o especificado</w:t>
            </w:r>
            <w:r w:rsidRPr="005038EE">
              <w:rPr>
                <w:i/>
                <w:color w:val="0000FF"/>
              </w:rPr>
              <w:t>&gt;</w:t>
            </w:r>
          </w:p>
        </w:tc>
      </w:tr>
    </w:tbl>
    <w:p w14:paraId="4CC851F8" w14:textId="77777777" w:rsidR="00850A7C" w:rsidRPr="009857AF" w:rsidRDefault="00850A7C" w:rsidP="009857AF"/>
    <w:p w14:paraId="3BFD7E7F" w14:textId="77777777" w:rsidR="009857AF" w:rsidRDefault="009857AF" w:rsidP="009857AF">
      <w:pPr>
        <w:pStyle w:val="Ttulo1"/>
      </w:pPr>
      <w:r>
        <w:t>Ferramenta de ETL</w:t>
      </w:r>
    </w:p>
    <w:p w14:paraId="06EA9B18" w14:textId="77777777" w:rsidR="00817373" w:rsidRDefault="00CB553A" w:rsidP="009857AF">
      <w:r>
        <w:t xml:space="preserve">Caso </w:t>
      </w:r>
      <w:r w:rsidR="00296DF4">
        <w:t>a aplicação</w:t>
      </w:r>
      <w:r>
        <w:t xml:space="preserve"> tenha o uso de ferramenta de ETL</w:t>
      </w:r>
      <w:r w:rsidR="002354A4">
        <w:t>,</w:t>
      </w:r>
      <w:r>
        <w:t xml:space="preserve"> a homologada no Ministério da Saúde é Informatica </w:t>
      </w:r>
      <w:r w:rsidR="00E622DF">
        <w:t>PowerCenter</w:t>
      </w:r>
      <w:r w:rsidR="002354A4">
        <w:t>,</w:t>
      </w:r>
      <w:r w:rsidR="00E622DF">
        <w:t xml:space="preserve"> versão</w:t>
      </w:r>
      <w:r>
        <w:t xml:space="preserve"> 9.6.1</w:t>
      </w:r>
      <w:r w:rsidR="002354A4">
        <w:t>,</w:t>
      </w:r>
      <w:r>
        <w:t xml:space="preserve"> HotFix</w:t>
      </w:r>
      <w:r w:rsidR="00296DF4">
        <w:t xml:space="preserve"> </w:t>
      </w:r>
      <w:r>
        <w:t xml:space="preserve">4. </w:t>
      </w:r>
    </w:p>
    <w:sectPr w:rsidR="008173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BAA81" w14:textId="77777777" w:rsidR="009A341C" w:rsidRDefault="009A341C" w:rsidP="00EE40EE">
      <w:pPr>
        <w:spacing w:after="0" w:line="240" w:lineRule="auto"/>
      </w:pPr>
      <w:r>
        <w:separator/>
      </w:r>
    </w:p>
  </w:endnote>
  <w:endnote w:type="continuationSeparator" w:id="0">
    <w:p w14:paraId="79395266" w14:textId="77777777" w:rsidR="009A341C" w:rsidRDefault="009A341C" w:rsidP="00EE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9990B" w14:textId="77777777" w:rsidR="009A341C" w:rsidRDefault="009A341C" w:rsidP="00EE40EE">
      <w:pPr>
        <w:spacing w:after="0" w:line="240" w:lineRule="auto"/>
      </w:pPr>
      <w:r>
        <w:separator/>
      </w:r>
    </w:p>
  </w:footnote>
  <w:footnote w:type="continuationSeparator" w:id="0">
    <w:p w14:paraId="197E2EB7" w14:textId="77777777" w:rsidR="009A341C" w:rsidRDefault="009A341C" w:rsidP="00EE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single" w:sz="4" w:space="0" w:color="333D4E"/>
        <w:left w:val="single" w:sz="4" w:space="0" w:color="333D4E"/>
        <w:bottom w:val="single" w:sz="4" w:space="0" w:color="333D4E"/>
        <w:right w:val="single" w:sz="4" w:space="0" w:color="333D4E"/>
        <w:insideH w:val="single" w:sz="4" w:space="0" w:color="333D4E"/>
        <w:insideV w:val="single" w:sz="4" w:space="0" w:color="333D4E"/>
      </w:tblBorders>
      <w:tblLook w:val="04A0" w:firstRow="1" w:lastRow="0" w:firstColumn="1" w:lastColumn="0" w:noHBand="0" w:noVBand="1"/>
    </w:tblPr>
    <w:tblGrid>
      <w:gridCol w:w="7225"/>
      <w:gridCol w:w="1269"/>
    </w:tblGrid>
    <w:tr w:rsidR="00EE40EE" w14:paraId="419B9444" w14:textId="77777777" w:rsidTr="00EE40EE">
      <w:tc>
        <w:tcPr>
          <w:tcW w:w="7225" w:type="dxa"/>
          <w:shd w:val="clear" w:color="auto" w:fill="333D4E"/>
        </w:tcPr>
        <w:p w14:paraId="3E7C0AED" w14:textId="77777777" w:rsidR="00EE40EE" w:rsidRPr="00EE40EE" w:rsidRDefault="00EE40EE">
          <w:pPr>
            <w:pStyle w:val="Cabealho"/>
          </w:pPr>
          <w:r w:rsidRPr="00EE40EE">
            <w:rPr>
              <w:b/>
              <w:color w:val="FFFFFF" w:themeColor="background1"/>
            </w:rPr>
            <w:t>Ministério da Saúde</w:t>
          </w:r>
        </w:p>
      </w:tc>
      <w:tc>
        <w:tcPr>
          <w:tcW w:w="1269" w:type="dxa"/>
          <w:shd w:val="clear" w:color="auto" w:fill="C79F22"/>
        </w:tcPr>
        <w:p w14:paraId="37BBFB11" w14:textId="4263F9CA" w:rsidR="00EE40EE" w:rsidRPr="00EE40EE" w:rsidRDefault="00EE40EE" w:rsidP="00EE40EE">
          <w:pPr>
            <w:pStyle w:val="Cabealho"/>
            <w:jc w:val="right"/>
          </w:pPr>
          <w:r w:rsidRPr="00EE40EE">
            <w:rPr>
              <w:color w:val="333D4E"/>
            </w:rPr>
            <w:fldChar w:fldCharType="begin"/>
          </w:r>
          <w:r w:rsidRPr="00EE40EE">
            <w:rPr>
              <w:color w:val="333D4E"/>
            </w:rPr>
            <w:instrText xml:space="preserve"> PAGE   \* MERGEFORMAT </w:instrText>
          </w:r>
          <w:r w:rsidRPr="00EE40EE">
            <w:rPr>
              <w:color w:val="333D4E"/>
            </w:rPr>
            <w:fldChar w:fldCharType="separate"/>
          </w:r>
          <w:r w:rsidR="00861445">
            <w:rPr>
              <w:noProof/>
              <w:color w:val="333D4E"/>
            </w:rPr>
            <w:t>1</w:t>
          </w:r>
          <w:r w:rsidRPr="00EE40EE">
            <w:rPr>
              <w:color w:val="333D4E"/>
            </w:rPr>
            <w:fldChar w:fldCharType="end"/>
          </w:r>
        </w:p>
      </w:tc>
    </w:tr>
  </w:tbl>
  <w:p w14:paraId="0893CD6C" w14:textId="77777777" w:rsidR="00EE40EE" w:rsidRDefault="00EE4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414040A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2F8019F"/>
    <w:multiLevelType w:val="hybridMultilevel"/>
    <w:tmpl w:val="BE229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B42F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6E33F7C"/>
    <w:multiLevelType w:val="hybridMultilevel"/>
    <w:tmpl w:val="972CD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47435"/>
    <w:multiLevelType w:val="hybridMultilevel"/>
    <w:tmpl w:val="067067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73"/>
    <w:rsid w:val="0000215E"/>
    <w:rsid w:val="00063393"/>
    <w:rsid w:val="001603DD"/>
    <w:rsid w:val="002354A4"/>
    <w:rsid w:val="00296DF4"/>
    <w:rsid w:val="003268AE"/>
    <w:rsid w:val="003A6E11"/>
    <w:rsid w:val="003D2067"/>
    <w:rsid w:val="004431A0"/>
    <w:rsid w:val="00457224"/>
    <w:rsid w:val="00481348"/>
    <w:rsid w:val="00492C06"/>
    <w:rsid w:val="00613F25"/>
    <w:rsid w:val="00652CD4"/>
    <w:rsid w:val="006B4CE8"/>
    <w:rsid w:val="00710A4F"/>
    <w:rsid w:val="007173C4"/>
    <w:rsid w:val="00817373"/>
    <w:rsid w:val="00841185"/>
    <w:rsid w:val="00850A7C"/>
    <w:rsid w:val="00861445"/>
    <w:rsid w:val="008917AA"/>
    <w:rsid w:val="008C6FDC"/>
    <w:rsid w:val="009212BF"/>
    <w:rsid w:val="009857AF"/>
    <w:rsid w:val="009A341C"/>
    <w:rsid w:val="00A06FA6"/>
    <w:rsid w:val="00A11C6F"/>
    <w:rsid w:val="00A67927"/>
    <w:rsid w:val="00AD0163"/>
    <w:rsid w:val="00AE75BB"/>
    <w:rsid w:val="00C84846"/>
    <w:rsid w:val="00CB553A"/>
    <w:rsid w:val="00D85632"/>
    <w:rsid w:val="00DE5018"/>
    <w:rsid w:val="00E622DF"/>
    <w:rsid w:val="00EE40EE"/>
    <w:rsid w:val="00F31A9A"/>
    <w:rsid w:val="00F5593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D3CA4"/>
  <w15:chartTrackingRefBased/>
  <w15:docId w15:val="{389BF5F5-4BC5-44EE-AB05-F237E973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DF4"/>
    <w:pPr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817373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color w:val="C79F2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7373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737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737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737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737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737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737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737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737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17373"/>
    <w:rPr>
      <w:rFonts w:eastAsiaTheme="majorEastAsia" w:cstheme="majorBidi"/>
      <w:b/>
      <w:color w:val="C79F22"/>
      <w:sz w:val="24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817373"/>
    <w:pPr>
      <w:spacing w:after="300" w:line="240" w:lineRule="auto"/>
      <w:contextualSpacing/>
    </w:pPr>
    <w:rPr>
      <w:rFonts w:eastAsiaTheme="majorEastAsia" w:cstheme="majorBidi"/>
      <w:color w:val="C79F22"/>
      <w:spacing w:val="5"/>
      <w:kern w:val="28"/>
      <w:sz w:val="4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17373"/>
    <w:rPr>
      <w:rFonts w:eastAsiaTheme="majorEastAsia" w:cstheme="majorBidi"/>
      <w:color w:val="C79F22"/>
      <w:spacing w:val="5"/>
      <w:kern w:val="28"/>
      <w:sz w:val="48"/>
      <w:szCs w:val="5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73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7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73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737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73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73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73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73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39"/>
    <w:rsid w:val="003A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4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0EE"/>
  </w:style>
  <w:style w:type="paragraph" w:styleId="Rodap">
    <w:name w:val="footer"/>
    <w:basedOn w:val="Normal"/>
    <w:link w:val="RodapChar"/>
    <w:uiPriority w:val="99"/>
    <w:unhideWhenUsed/>
    <w:rsid w:val="00EE4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0EE"/>
  </w:style>
  <w:style w:type="character" w:styleId="Hyperlink">
    <w:name w:val="Hyperlink"/>
    <w:basedOn w:val="Fontepargpadro"/>
    <w:uiPriority w:val="99"/>
    <w:unhideWhenUsed/>
    <w:rsid w:val="00710A4F"/>
    <w:rPr>
      <w:color w:val="0563C1" w:themeColor="hyperlink"/>
      <w:u w:val="single"/>
    </w:rPr>
  </w:style>
  <w:style w:type="paragraph" w:styleId="Commarcadores2">
    <w:name w:val="List Bullet 2"/>
    <w:basedOn w:val="Normal"/>
    <w:uiPriority w:val="99"/>
    <w:unhideWhenUsed/>
    <w:rsid w:val="003D2067"/>
    <w:pPr>
      <w:numPr>
        <w:numId w:val="5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d.saude.gov.br/index.php?r=site%2Fm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 - Eliete Colucci Sousa</dc:creator>
  <cp:keywords/>
  <dc:description/>
  <cp:lastModifiedBy>CAST - Eliete Colucci Sousa</cp:lastModifiedBy>
  <cp:revision>2</cp:revision>
  <dcterms:created xsi:type="dcterms:W3CDTF">2018-05-08T18:46:00Z</dcterms:created>
  <dcterms:modified xsi:type="dcterms:W3CDTF">2018-05-08T18:46:00Z</dcterms:modified>
</cp:coreProperties>
</file>